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f0qa1k3efh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Veille technologique sur la cybersécurité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rtbdkrl1qy9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-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3000"/>
        <w:gridCol w:w="4125"/>
        <w:tblGridChange w:id="0">
          <w:tblGrid>
            <w:gridCol w:w="3825"/>
            <w:gridCol w:w="3000"/>
            <w:gridCol w:w="4125"/>
          </w:tblGrid>
        </w:tblGridChange>
      </w:tblGrid>
      <w:tr>
        <w:trPr>
          <w:cantSplit w:val="0"/>
          <w:trHeight w:val="1710.8056640625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Fin 2025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Mise en conformité NIS 2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Obligation de sécuriser la chaîne d'approvisionnement et les prestataires.</w:t>
            </w:r>
          </w:p>
        </w:tc>
      </w:tr>
      <w:tr>
        <w:trPr>
          <w:cantSplit w:val="0"/>
          <w:trHeight w:val="1976.0742187499998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Début 2026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Maturité des Deepfakes audio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Risque accru d'arnaques au président ; nécessité de procédures de vérification hors-canal.</w:t>
            </w:r>
          </w:p>
        </w:tc>
      </w:tr>
      <w:tr>
        <w:trPr>
          <w:cantSplit w:val="0"/>
          <w:trHeight w:val="1721.0742187499998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Printemps 2026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Généralisation du Syllogisme Post-Quantique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480" w:lineRule="auto"/>
              <w:rPr>
                <w:b w:val="1"/>
                <w:bCs w:val="1"/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8"/>
                <w:szCs w:val="28"/>
                <w:rtl w:val="0"/>
              </w:rPr>
              <w:t xml:space="preserve">Début de la réflexion sur le remplacement des algorithmes de chiffrement actuels.</w:t>
            </w:r>
          </w:p>
        </w:tc>
      </w:tr>
    </w:tbl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etd60bqkk3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ijwp9vvqi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L'explosion de l'IA Générative dans le "Ransomware-as-a-Service" (RaaS)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modèle du RaaS s'est transformé avec l'intégration massive de l'IA par les groupes cybercriminels.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Phishing ultra-personnalisé :</w:t>
      </w:r>
      <w:r w:rsidDel="00000000" w:rsidR="00000000" w:rsidRPr="00000000">
        <w:rPr>
          <w:rtl w:val="0"/>
        </w:rPr>
        <w:t xml:space="preserve"> On a observé une disparition des fautes d'orthographe et une amélioration du ton dans les mails de phishing grâce à des LLM (Large Language Models) non censurés. Cela rend la détection par les utilisateurs bien plus difficile.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Automatisation de l'exploitation :</w:t>
      </w:r>
      <w:r w:rsidDel="00000000" w:rsidR="00000000" w:rsidRPr="00000000">
        <w:rPr>
          <w:rtl w:val="0"/>
        </w:rPr>
        <w:t xml:space="preserve"> Les attaquants utilisent désormais l'IA pour scanner les vulnérabilités réseaux dès leur publication (0-day) et générer du code d'exploitation en quelques minutes.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Contre-mesure SISR :</w:t>
      </w:r>
      <w:r w:rsidDel="00000000" w:rsidR="00000000" w:rsidRPr="00000000">
        <w:rPr>
          <w:rtl w:val="0"/>
        </w:rPr>
        <w:t xml:space="preserve"> La réponse des administrateurs s'est déplacée vers l'</w:t>
      </w:r>
      <w:r w:rsidDel="00000000" w:rsidR="00000000" w:rsidRPr="00000000">
        <w:rPr>
          <w:b w:val="1"/>
          <w:bCs w:val="1"/>
          <w:rtl w:val="0"/>
        </w:rPr>
        <w:t xml:space="preserve">AIOps</w:t>
      </w:r>
      <w:r w:rsidDel="00000000" w:rsidR="00000000" w:rsidRPr="00000000">
        <w:rPr>
          <w:rtl w:val="0"/>
        </w:rPr>
        <w:t xml:space="preserve"> et le déploiement de </w:t>
      </w:r>
      <w:r w:rsidDel="00000000" w:rsidR="00000000" w:rsidRPr="00000000">
        <w:rPr>
          <w:b w:val="1"/>
          <w:bCs w:val="1"/>
          <w:rtl w:val="0"/>
        </w:rPr>
        <w:t xml:space="preserve">SOC automatisés</w:t>
      </w:r>
      <w:r w:rsidDel="00000000" w:rsidR="00000000" w:rsidRPr="00000000">
        <w:rPr>
          <w:rtl w:val="0"/>
        </w:rPr>
        <w:t xml:space="preserve"> capables de bloquer des comportements suspects à la vitesse de la machine.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4yzclwfi10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Vers le "Zero Trust" 2.0 : L'identité est le nouveau périmètre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concept de Zero Trust n'est plus une option mais une norme imposée par les régulateurs (notamment avec la mise en application stricte de la directive européenne </w:t>
      </w:r>
      <w:r w:rsidDel="00000000" w:rsidR="00000000" w:rsidRPr="00000000">
        <w:rPr>
          <w:b w:val="1"/>
          <w:bCs w:val="1"/>
          <w:rtl w:val="0"/>
        </w:rPr>
        <w:t xml:space="preserve">NIS 2</w:t>
      </w:r>
      <w:r w:rsidDel="00000000" w:rsidR="00000000" w:rsidRPr="00000000">
        <w:rPr>
          <w:rtl w:val="0"/>
        </w:rPr>
        <w:t xml:space="preserve"> fin 2025).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Passkey et MFA résistant au phishing :</w:t>
      </w:r>
      <w:r w:rsidDel="00000000" w:rsidR="00000000" w:rsidRPr="00000000">
        <w:rPr>
          <w:rtl w:val="0"/>
        </w:rPr>
        <w:t xml:space="preserve"> Les 8 derniers mois ont marqué un recul du MFA par SMS (jugé trop vulnérable au SIM Swapping) au profit des clés physiques (FIDO2) et des Passkeys intégrés aux OS.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Micro-segmentation dynamique :</w:t>
      </w:r>
      <w:r w:rsidDel="00000000" w:rsidR="00000000" w:rsidRPr="00000000">
        <w:rPr>
          <w:rtl w:val="0"/>
        </w:rPr>
        <w:t xml:space="preserve"> Dans les infrastructures SISR modernes, on ne se contente plus de VLAN statiques. On voit l'émergence de solutions de micro-segmentation qui isolent les serveurs de manière logicielle en fonction de la charge de travail (Workload).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fa04jhg9w22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La Sécurité de l'IoT et de l'OT (Convergence Réseau)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réseaux industriels (OT) et les objets connectés (IoT) sont devenus les cibles prioritaires.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Vulnérabilités critiques sur les routeurs et NAS :</w:t>
      </w:r>
      <w:r w:rsidDel="00000000" w:rsidR="00000000" w:rsidRPr="00000000">
        <w:rPr>
          <w:rtl w:val="0"/>
        </w:rPr>
        <w:t xml:space="preserve"> Une vague d'attaques a ciblé les équipements de bordure de réseau (Edge) plutôt que les terminaux. Les administrateurs SISR ont dû faire face à des campagnes massives visant les failles de micrologiciels (firmwares).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Réglementation (Cyber Resilience Act) :</w:t>
      </w:r>
      <w:r w:rsidDel="00000000" w:rsidR="00000000" w:rsidRPr="00000000">
        <w:rPr>
          <w:rtl w:val="0"/>
        </w:rPr>
        <w:t xml:space="preserve"> L'Europe a renforcé les exigences de sécurité pour les fabricants d'objets connectés. En tant que futur technicien, la veille sur les mises à jour de sécurité des équipements non informatiques (caméras IP, capteurs, climatisation connectée) est devenue une tâche d'administration réseau à part entière.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